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28E" w:rsidRDefault="0074628E">
      <w:pPr>
        <w:rPr>
          <w:rFonts w:ascii="Arial" w:eastAsia="Arial" w:hAnsi="Arial" w:cs="Arial"/>
          <w:b/>
          <w:sz w:val="36"/>
          <w:szCs w:val="36"/>
        </w:rPr>
      </w:pPr>
      <w:bookmarkStart w:id="0" w:name="_GoBack"/>
      <w:bookmarkEnd w:id="0"/>
    </w:p>
    <w:p w:rsidR="0074628E" w:rsidRDefault="00FC4575">
      <w:pPr>
        <w:rPr>
          <w:rFonts w:ascii="Arial" w:eastAsia="Arial" w:hAnsi="Arial" w:cs="Arial"/>
          <w:b/>
          <w:sz w:val="36"/>
          <w:szCs w:val="36"/>
        </w:rPr>
      </w:pPr>
      <w:r>
        <w:rPr>
          <w:rFonts w:ascii="Arial" w:eastAsia="Arial" w:hAnsi="Arial" w:cs="Arial"/>
          <w:b/>
          <w:sz w:val="36"/>
          <w:szCs w:val="36"/>
        </w:rPr>
        <w:t>Joint Schedule 1 (Definitions)</w:t>
      </w:r>
    </w:p>
    <w:p w:rsidR="0074628E" w:rsidRDefault="00FC4575">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74628E" w:rsidRDefault="00FC4575">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74628E" w:rsidRDefault="00FC4575">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74628E" w:rsidRDefault="00FC4575">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74628E" w:rsidRDefault="00FC4575">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74628E" w:rsidRDefault="00FC4575">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74628E" w:rsidRDefault="00FC4575">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74628E" w:rsidRDefault="0074628E">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8"/>
        <w:tblW w:w="10845" w:type="dxa"/>
        <w:tblInd w:w="-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8010"/>
      </w:tblGrid>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body corporate, any other entity which directly or indirectly Controls, is Controlled by, or is under direct or indirect common Control of that body corporate </w:t>
            </w:r>
            <w:r>
              <w:rPr>
                <w:rFonts w:ascii="Arial" w:eastAsia="Arial" w:hAnsi="Arial" w:cs="Arial"/>
                <w:color w:val="000000"/>
                <w:sz w:val="24"/>
                <w:szCs w:val="24"/>
              </w:rPr>
              <w:t>from time to time;</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rsidR="0074628E" w:rsidRDefault="00FC4575">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rsidR="0074628E" w:rsidRDefault="00FC4575">
            <w:pPr>
              <w:numPr>
                <w:ilvl w:val="0"/>
                <w:numId w:val="8"/>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74628E" w:rsidRDefault="00FC4575">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74628E" w:rsidRDefault="00FC4575">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74628E" w:rsidRDefault="00FC4575">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74628E" w:rsidRDefault="00FC4575">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74628E" w:rsidRDefault="00FC4575">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74628E">
        <w:trPr>
          <w:trHeight w:val="601"/>
        </w:trPr>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"Authority"</w:t>
            </w:r>
          </w:p>
        </w:tc>
        <w:tc>
          <w:tcPr>
            <w:tcW w:w="8010" w:type="dxa"/>
          </w:tcPr>
          <w:p w:rsidR="0074628E" w:rsidRDefault="00FC4575">
            <w:pPr>
              <w:jc w:val="both"/>
              <w:rPr>
                <w:rFonts w:ascii="Arial" w:eastAsia="Arial" w:hAnsi="Arial" w:cs="Arial"/>
                <w:sz w:val="24"/>
                <w:szCs w:val="24"/>
              </w:rPr>
            </w:pPr>
            <w:r>
              <w:rPr>
                <w:rFonts w:ascii="Arial" w:eastAsia="Arial" w:hAnsi="Arial" w:cs="Arial"/>
                <w:sz w:val="24"/>
                <w:szCs w:val="24"/>
              </w:rPr>
              <w:t xml:space="preserve">   CCS and each Buyer;</w:t>
            </w:r>
          </w:p>
        </w:tc>
      </w:tr>
      <w:tr w:rsidR="0074628E">
        <w:tc>
          <w:tcPr>
            <w:tcW w:w="2835" w:type="dxa"/>
          </w:tcPr>
          <w:p w:rsidR="0074628E" w:rsidRDefault="00FC4575">
            <w:pPr>
              <w:pBdr>
                <w:top w:val="nil"/>
                <w:left w:val="nil"/>
                <w:bottom w:val="nil"/>
                <w:right w:val="nil"/>
                <w:between w:val="nil"/>
              </w:pBdr>
              <w:ind w:left="141"/>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74628E">
        <w:tc>
          <w:tcPr>
            <w:tcW w:w="2835" w:type="dxa"/>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74628E">
        <w:tc>
          <w:tcPr>
            <w:tcW w:w="2835" w:type="dxa"/>
          </w:tcPr>
          <w:p w:rsidR="0074628E" w:rsidRDefault="00FC4575">
            <w:pPr>
              <w:tabs>
                <w:tab w:val="left" w:pos="709"/>
              </w:tabs>
              <w:ind w:left="141"/>
              <w:rPr>
                <w:rFonts w:ascii="Arial" w:eastAsia="Arial" w:hAnsi="Arial" w:cs="Arial"/>
                <w:b/>
                <w:sz w:val="28"/>
                <w:szCs w:val="28"/>
              </w:rPr>
            </w:pPr>
            <w:r>
              <w:rPr>
                <w:rFonts w:ascii="Arial" w:eastAsia="Arial" w:hAnsi="Arial" w:cs="Arial"/>
                <w:b/>
                <w:sz w:val="24"/>
                <w:szCs w:val="24"/>
              </w:rPr>
              <w:t>“Capability Down-Select Matrix”</w:t>
            </w:r>
          </w:p>
        </w:tc>
        <w:tc>
          <w:tcPr>
            <w:tcW w:w="8010" w:type="dxa"/>
          </w:tcPr>
          <w:p w:rsidR="0074628E" w:rsidRDefault="00FC4575">
            <w:pPr>
              <w:shd w:val="clear" w:color="auto" w:fill="FFFFFF"/>
              <w:tabs>
                <w:tab w:val="left" w:pos="709"/>
                <w:tab w:val="left" w:pos="1134"/>
              </w:tabs>
              <w:spacing w:after="200" w:line="276" w:lineRule="auto"/>
              <w:ind w:left="141"/>
              <w:jc w:val="both"/>
              <w:rPr>
                <w:rFonts w:ascii="Arial" w:eastAsia="Arial" w:hAnsi="Arial" w:cs="Arial"/>
                <w:color w:val="000000"/>
                <w:sz w:val="24"/>
                <w:szCs w:val="24"/>
              </w:rPr>
            </w:pPr>
            <w:r>
              <w:rPr>
                <w:rFonts w:ascii="Arial" w:eastAsia="Arial" w:hAnsi="Arial" w:cs="Arial"/>
                <w:sz w:val="24"/>
                <w:szCs w:val="24"/>
              </w:rPr>
              <w:t>means the matrix available for buyers to create shortlists of suppliers on Lot 1 by capability to run a down-select further competition</w:t>
            </w:r>
          </w:p>
        </w:tc>
      </w:tr>
      <w:tr w:rsidR="0074628E">
        <w:tc>
          <w:tcPr>
            <w:tcW w:w="2835" w:type="dxa"/>
          </w:tcPr>
          <w:p w:rsidR="0074628E" w:rsidRDefault="00FC4575">
            <w:pPr>
              <w:tabs>
                <w:tab w:val="left" w:pos="709"/>
              </w:tabs>
              <w:ind w:left="141"/>
              <w:rPr>
                <w:rFonts w:ascii="Arial" w:eastAsia="Arial" w:hAnsi="Arial" w:cs="Arial"/>
                <w:b/>
                <w:sz w:val="24"/>
                <w:szCs w:val="24"/>
              </w:rPr>
            </w:pPr>
            <w:r>
              <w:rPr>
                <w:rFonts w:ascii="Arial" w:eastAsia="Arial" w:hAnsi="Arial" w:cs="Arial"/>
                <w:b/>
                <w:sz w:val="24"/>
                <w:szCs w:val="24"/>
              </w:rPr>
              <w:t>“Catalogue”</w:t>
            </w:r>
          </w:p>
        </w:tc>
        <w:tc>
          <w:tcPr>
            <w:tcW w:w="8010" w:type="dxa"/>
          </w:tcPr>
          <w:p w:rsidR="0074628E" w:rsidRDefault="00FC4575">
            <w:pPr>
              <w:shd w:val="clear" w:color="auto" w:fill="FFFFFF"/>
              <w:tabs>
                <w:tab w:val="left" w:pos="709"/>
                <w:tab w:val="left" w:pos="1134"/>
              </w:tabs>
              <w:spacing w:after="200" w:line="276" w:lineRule="auto"/>
              <w:ind w:left="141"/>
              <w:jc w:val="both"/>
              <w:rPr>
                <w:rFonts w:ascii="Arial" w:eastAsia="Arial" w:hAnsi="Arial" w:cs="Arial"/>
                <w:sz w:val="24"/>
                <w:szCs w:val="24"/>
              </w:rPr>
            </w:pPr>
            <w:r>
              <w:rPr>
                <w:rFonts w:ascii="Arial" w:eastAsia="Arial" w:hAnsi="Arial" w:cs="Arial"/>
                <w:sz w:val="24"/>
                <w:szCs w:val="24"/>
              </w:rPr>
              <w:t>means the online repository of supplier product &amp; service offerings and pricing</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74628E">
        <w:tc>
          <w:tcPr>
            <w:tcW w:w="2835" w:type="dxa"/>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74628E" w:rsidRDefault="00FC4575">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74628E" w:rsidRDefault="00FC4575">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74628E" w:rsidRDefault="00FC4575">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rsidR="0074628E" w:rsidRDefault="00FC4575">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74628E">
        <w:tc>
          <w:tcPr>
            <w:tcW w:w="2835" w:type="dxa"/>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w:t>
            </w:r>
            <w:r>
              <w:rPr>
                <w:rFonts w:ascii="Arial" w:eastAsia="Arial" w:hAnsi="Arial" w:cs="Arial"/>
                <w:color w:val="000000"/>
                <w:sz w:val="24"/>
                <w:szCs w:val="24"/>
              </w:rPr>
              <w:t>ably and properly incurred by the Supplier in providing the Deliverables:</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w:t>
            </w:r>
            <w:r>
              <w:rPr>
                <w:rFonts w:ascii="Arial" w:eastAsia="Arial" w:hAnsi="Arial" w:cs="Arial"/>
                <w:color w:val="000000"/>
                <w:sz w:val="24"/>
                <w:szCs w:val="24"/>
              </w:rPr>
              <w:t>ecessary to provide the Deliverables (but not including items included within limb (b) below); and</w:t>
            </w:r>
          </w:p>
          <w:p w:rsidR="0074628E" w:rsidRDefault="00FC4575">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w:t>
            </w:r>
            <w:r>
              <w:rPr>
                <w:rFonts w:ascii="Arial" w:eastAsia="Arial" w:hAnsi="Arial" w:cs="Arial"/>
                <w:color w:val="000000"/>
                <w:sz w:val="24"/>
                <w:szCs w:val="24"/>
              </w:rPr>
              <w:t>nerally accepted accounting principles within the UK, which shall include the cost to be charged in respect of Supplier Assets by the Supplier to the Buyer or (to the extent that risk and title in any Supplier Asset is not held by the Supplier) any cost ac</w:t>
            </w:r>
            <w:r>
              <w:rPr>
                <w:rFonts w:ascii="Arial" w:eastAsia="Arial" w:hAnsi="Arial" w:cs="Arial"/>
                <w:color w:val="000000"/>
                <w:sz w:val="24"/>
                <w:szCs w:val="24"/>
              </w:rPr>
              <w:t>tually incurred by the Supplier in respect of those Supplier Assets;</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w:t>
            </w:r>
            <w:r>
              <w:rPr>
                <w:rFonts w:ascii="Arial" w:eastAsia="Arial" w:hAnsi="Arial" w:cs="Arial"/>
                <w:color w:val="000000"/>
                <w:sz w:val="24"/>
                <w:szCs w:val="24"/>
              </w:rPr>
              <w:t>nd</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74628E" w:rsidRDefault="00FC4575">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74628E" w:rsidRDefault="00FC4575">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74628E" w:rsidRDefault="00FC4575">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74628E" w:rsidRDefault="00FC4575">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74628E" w:rsidRDefault="00FC4575">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74628E" w:rsidRDefault="00FC457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2835"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vAlign w:val="center"/>
          </w:tcPr>
          <w:p w:rsidR="0074628E" w:rsidRDefault="00FC4575">
            <w:pPr>
              <w:tabs>
                <w:tab w:val="left" w:pos="709"/>
              </w:tabs>
              <w:rPr>
                <w:rFonts w:ascii="Arial" w:eastAsia="Arial" w:hAnsi="Arial" w:cs="Arial"/>
                <w:b/>
                <w:sz w:val="24"/>
                <w:szCs w:val="24"/>
              </w:rPr>
            </w:pPr>
            <w:r>
              <w:rPr>
                <w:rFonts w:ascii="Arial" w:eastAsia="Arial" w:hAnsi="Arial" w:cs="Arial"/>
                <w:b/>
                <w:sz w:val="24"/>
                <w:szCs w:val="24"/>
              </w:rPr>
              <w:t>“DataSecOps”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vAlign w:val="center"/>
          </w:tcPr>
          <w:p w:rsidR="0074628E" w:rsidRDefault="00FC4575">
            <w:pPr>
              <w:widowControl w:val="0"/>
              <w:tabs>
                <w:tab w:val="left" w:pos="709"/>
              </w:tabs>
              <w:spacing w:before="120" w:after="120"/>
              <w:ind w:right="57"/>
              <w:rPr>
                <w:rFonts w:ascii="Arial" w:eastAsia="Arial" w:hAnsi="Arial" w:cs="Arial"/>
                <w:sz w:val="24"/>
                <w:szCs w:val="24"/>
              </w:rPr>
            </w:pPr>
            <w:r>
              <w:rPr>
                <w:rFonts w:ascii="Arial" w:eastAsia="Arial" w:hAnsi="Arial" w:cs="Arial"/>
                <w:sz w:val="24"/>
                <w:szCs w:val="24"/>
              </w:rPr>
              <w:t>is the evolution of the ‘DevSecOps’ model specifically for data management.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74628E" w:rsidRDefault="00FC45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“Day Rate”</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sz w:val="24"/>
                <w:szCs w:val="24"/>
              </w:rPr>
              <w:t>means the rate for an eight (8) hour Working Day, exclusive of breaks including lunch</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w:t>
            </w:r>
            <w:r>
              <w:rPr>
                <w:rFonts w:ascii="Arial" w:eastAsia="Arial" w:hAnsi="Arial" w:cs="Arial"/>
                <w:color w:val="000000"/>
                <w:sz w:val="24"/>
                <w:szCs w:val="24"/>
              </w:rPr>
              <w:t>plier Staff howsoever arising in connection with or in relation to the subject-matter of a Contract and in respect of which the Supplier is liable to the Relevant Authority;</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8.1.1 of Fra</w:t>
            </w:r>
            <w:r>
              <w:rPr>
                <w:rFonts w:ascii="Arial" w:eastAsia="Arial" w:hAnsi="Arial" w:cs="Arial"/>
                <w:color w:val="000000"/>
                <w:sz w:val="24"/>
                <w:szCs w:val="24"/>
              </w:rPr>
              <w:t>mework Schedule 5 (Management Charges and Information);</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w:t>
            </w:r>
            <w:r>
              <w:rPr>
                <w:rFonts w:ascii="Arial" w:eastAsia="Arial" w:hAnsi="Arial" w:cs="Arial"/>
                <w:color w:val="000000"/>
                <w:sz w:val="24"/>
                <w:szCs w:val="24"/>
              </w:rPr>
              <w:t>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74628E">
        <w:tc>
          <w:tcPr>
            <w:tcW w:w="2835"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vAlign w:val="center"/>
          </w:tcPr>
          <w:p w:rsidR="0074628E" w:rsidRDefault="00FC4575">
            <w:pPr>
              <w:tabs>
                <w:tab w:val="left" w:pos="709"/>
              </w:tabs>
              <w:rPr>
                <w:rFonts w:ascii="Arial" w:eastAsia="Arial" w:hAnsi="Arial" w:cs="Arial"/>
                <w:b/>
                <w:sz w:val="24"/>
                <w:szCs w:val="24"/>
              </w:rPr>
            </w:pPr>
            <w:r>
              <w:rPr>
                <w:rFonts w:ascii="Arial" w:eastAsia="Arial" w:hAnsi="Arial" w:cs="Arial"/>
                <w:b/>
                <w:sz w:val="24"/>
                <w:szCs w:val="24"/>
              </w:rPr>
              <w:t>“DevOps”</w:t>
            </w:r>
          </w:p>
        </w:tc>
        <w:tc>
          <w:tcPr>
            <w:tcW w:w="8010"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vAlign w:val="center"/>
          </w:tcPr>
          <w:p w:rsidR="0074628E" w:rsidRDefault="00FC4575">
            <w:pPr>
              <w:tabs>
                <w:tab w:val="left" w:pos="709"/>
                <w:tab w:val="left" w:pos="-179"/>
                <w:tab w:val="left" w:pos="-9"/>
              </w:tabs>
              <w:rPr>
                <w:rFonts w:ascii="Arial" w:eastAsia="Arial" w:hAnsi="Arial" w:cs="Arial"/>
                <w:sz w:val="24"/>
                <w:szCs w:val="24"/>
              </w:rPr>
            </w:pPr>
            <w:r>
              <w:rPr>
                <w:rFonts w:ascii="Arial" w:eastAsia="Arial" w:hAnsi="Arial" w:cs="Arial"/>
                <w:sz w:val="24"/>
                <w:szCs w:val="24"/>
              </w:rPr>
              <w:t>DevOps is a set of practices that combines software development (Dev) and IT operations (Ops). In many cases, this is the name of the team operating a customer’s CI/CD pipelines and managing its environments.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74628E">
        <w:tc>
          <w:tcPr>
            <w:tcW w:w="2835" w:type="dxa"/>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74628E" w:rsidRDefault="00FC4575">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74628E" w:rsidRDefault="00FC4575">
            <w:pPr>
              <w:numPr>
                <w:ilvl w:val="1"/>
                <w:numId w:val="2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74628E" w:rsidRDefault="00FC4575">
            <w:pPr>
              <w:numPr>
                <w:ilvl w:val="1"/>
                <w:numId w:val="2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74628E" w:rsidRDefault="00FC4575">
            <w:pPr>
              <w:numPr>
                <w:ilvl w:val="1"/>
                <w:numId w:val="2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74628E" w:rsidRDefault="00FC4575">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74628E" w:rsidRDefault="00FC4575">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74628E" w:rsidRDefault="00FC4575">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information supplied to the Supplier by or on behalf of the Authority prior to the Start Date;</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74628E" w:rsidRDefault="00FC4575">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74628E" w:rsidRDefault="00FC4575">
            <w:pPr>
              <w:pBdr>
                <w:top w:val="nil"/>
                <w:left w:val="nil"/>
                <w:bottom w:val="nil"/>
                <w:right w:val="nil"/>
                <w:between w:val="nil"/>
              </w:pBdr>
              <w:tabs>
                <w:tab w:val="left" w:pos="-576"/>
                <w:tab w:val="left" w:pos="144"/>
              </w:tabs>
              <w:spacing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rsidR="0074628E" w:rsidRDefault="00FC4575">
            <w:pPr>
              <w:numPr>
                <w:ilvl w:val="1"/>
                <w:numId w:val="24"/>
              </w:numPr>
              <w:pBdr>
                <w:top w:val="nil"/>
                <w:left w:val="nil"/>
                <w:bottom w:val="nil"/>
                <w:right w:val="nil"/>
                <w:between w:val="nil"/>
              </w:pBdr>
              <w:tabs>
                <w:tab w:val="left" w:pos="-576"/>
                <w:tab w:val="left" w:pos="144"/>
              </w:tabs>
              <w:spacing w:after="120"/>
              <w:ind w:hanging="291"/>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74628E" w:rsidRDefault="00FC4575">
            <w:pPr>
              <w:numPr>
                <w:ilvl w:val="1"/>
                <w:numId w:val="24"/>
              </w:numPr>
              <w:pBdr>
                <w:top w:val="nil"/>
                <w:left w:val="nil"/>
                <w:bottom w:val="nil"/>
                <w:right w:val="nil"/>
                <w:between w:val="nil"/>
              </w:pBdr>
              <w:tabs>
                <w:tab w:val="left" w:pos="-576"/>
                <w:tab w:val="left" w:pos="144"/>
              </w:tabs>
              <w:spacing w:after="120"/>
              <w:ind w:hanging="291"/>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74628E">
        <w:tc>
          <w:tcPr>
            <w:tcW w:w="2835" w:type="dxa"/>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“Estimated Year 1 Charge</w:t>
            </w:r>
            <w:r>
              <w:rPr>
                <w:rFonts w:ascii="Arial" w:eastAsia="Arial" w:hAnsi="Arial" w:cs="Arial"/>
                <w:b/>
                <w:color w:val="000000"/>
                <w:sz w:val="24"/>
                <w:szCs w:val="24"/>
              </w:rPr>
              <w:t>s”</w:t>
            </w:r>
          </w:p>
        </w:tc>
        <w:tc>
          <w:tcPr>
            <w:tcW w:w="8010" w:type="dxa"/>
          </w:tcPr>
          <w:p w:rsidR="0074628E" w:rsidRDefault="00FC4575">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74628E" w:rsidRDefault="0074628E">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p>
        </w:tc>
      </w:tr>
    </w:tbl>
    <w:p w:rsidR="0074628E" w:rsidRDefault="0074628E">
      <w:pPr>
        <w:widowControl w:val="0"/>
        <w:pBdr>
          <w:top w:val="nil"/>
          <w:left w:val="nil"/>
          <w:bottom w:val="nil"/>
          <w:right w:val="nil"/>
          <w:between w:val="nil"/>
        </w:pBdr>
        <w:spacing w:after="0"/>
        <w:jc w:val="both"/>
        <w:rPr>
          <w:rFonts w:ascii="Arial" w:eastAsia="Arial" w:hAnsi="Arial" w:cs="Arial"/>
          <w:color w:val="000000"/>
          <w:sz w:val="24"/>
          <w:szCs w:val="24"/>
        </w:rPr>
      </w:pPr>
    </w:p>
    <w:tbl>
      <w:tblPr>
        <w:tblStyle w:val="a9"/>
        <w:tblW w:w="10890" w:type="dxa"/>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5"/>
        <w:gridCol w:w="7875"/>
      </w:tblGrid>
      <w:tr w:rsidR="0074628E">
        <w:tc>
          <w:tcPr>
            <w:tcW w:w="0" w:type="auto"/>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w:t>
            </w:r>
            <w:r>
              <w:rPr>
                <w:rFonts w:ascii="Arial" w:eastAsia="Arial" w:hAnsi="Arial" w:cs="Arial"/>
                <w:b/>
                <w:sz w:val="24"/>
                <w:szCs w:val="24"/>
              </w:rPr>
              <w:t>rge</w:t>
            </w:r>
            <w:r>
              <w:rPr>
                <w:rFonts w:ascii="Arial" w:eastAsia="Arial" w:hAnsi="Arial" w:cs="Arial"/>
                <w:b/>
                <w:color w:val="000000"/>
                <w:sz w:val="24"/>
                <w:szCs w:val="24"/>
              </w:rPr>
              <w:t>s"</w:t>
            </w:r>
          </w:p>
        </w:tc>
        <w:tc>
          <w:tcPr>
            <w:tcW w:w="0" w:type="auto"/>
            <w:tcBorders>
              <w:top w:val="nil"/>
              <w:left w:val="nil"/>
              <w:bottom w:val="single" w:sz="4" w:space="0" w:color="000000"/>
              <w:right w:val="single" w:sz="8" w:space="0" w:color="000000"/>
            </w:tcBorders>
            <w:tcMar>
              <w:top w:w="0" w:type="dxa"/>
              <w:left w:w="108" w:type="dxa"/>
              <w:bottom w:w="0" w:type="dxa"/>
              <w:right w:w="108" w:type="dxa"/>
            </w:tcMar>
          </w:tcPr>
          <w:p w:rsidR="0074628E" w:rsidRDefault="00FC4575">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74628E" w:rsidRDefault="00FC4575">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74628E" w:rsidRDefault="00FC4575">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74628E" w:rsidRDefault="00FC4575">
            <w:pPr>
              <w:pBdr>
                <w:top w:val="nil"/>
                <w:left w:val="nil"/>
                <w:bottom w:val="nil"/>
                <w:right w:val="nil"/>
                <w:between w:val="nil"/>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7462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“Exempt Buyer”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74628E" w:rsidRDefault="00FC4575">
            <w:pPr>
              <w:numPr>
                <w:ilvl w:val="0"/>
                <w:numId w:val="18"/>
              </w:numPr>
              <w:pBdr>
                <w:top w:val="nil"/>
                <w:left w:val="nil"/>
                <w:bottom w:val="nil"/>
                <w:right w:val="nil"/>
                <w:between w:val="nil"/>
              </w:pBdr>
              <w:tabs>
                <w:tab w:val="left" w:pos="-179"/>
                <w:tab w:val="left" w:pos="-9"/>
              </w:tabs>
              <w:spacing w:after="120"/>
              <w:ind w:left="388"/>
              <w:rPr>
                <w:sz w:val="24"/>
                <w:szCs w:val="24"/>
              </w:rPr>
            </w:pPr>
            <w:r>
              <w:rPr>
                <w:rFonts w:ascii="Arial" w:eastAsia="Arial" w:hAnsi="Arial" w:cs="Arial"/>
                <w:color w:val="000000"/>
                <w:sz w:val="24"/>
                <w:szCs w:val="24"/>
              </w:rPr>
              <w:t>eligible to use the Framework Contract; and</w:t>
            </w:r>
          </w:p>
          <w:p w:rsidR="0074628E" w:rsidRDefault="00FC4575">
            <w:pPr>
              <w:numPr>
                <w:ilvl w:val="0"/>
                <w:numId w:val="18"/>
              </w:numPr>
              <w:pBdr>
                <w:top w:val="nil"/>
                <w:left w:val="nil"/>
                <w:bottom w:val="nil"/>
                <w:right w:val="nil"/>
                <w:between w:val="nil"/>
              </w:pBdr>
              <w:tabs>
                <w:tab w:val="left" w:pos="-179"/>
                <w:tab w:val="left" w:pos="-9"/>
              </w:tabs>
              <w:spacing w:after="120"/>
              <w:ind w:left="388"/>
              <w:rPr>
                <w:sz w:val="24"/>
                <w:szCs w:val="24"/>
              </w:rPr>
            </w:pPr>
            <w:r>
              <w:rPr>
                <w:rFonts w:ascii="Arial" w:eastAsia="Arial" w:hAnsi="Arial" w:cs="Arial"/>
                <w:color w:val="000000"/>
                <w:sz w:val="24"/>
                <w:szCs w:val="24"/>
              </w:rPr>
              <w:t>is entering into an Exempt Call-off Contract that is not subject to (as applicable) any of:</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Regulations;</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Concession Contracts Regulations 2016 (SI 2016/273);</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Utilities Contracts Regulations 2016 (SI 2016/274);</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Defence and Security Public Contracts Regulations 2011 (SI 2011/1848);</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Remedies Directive (2007/66/EC);</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Directive 2014/23/EU of the European Parliament and Council;</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Directive 2014/24/EU of the European Parliament and Council;</w:t>
            </w:r>
          </w:p>
          <w:p w:rsidR="0074628E" w:rsidRDefault="00FC4575">
            <w:pPr>
              <w:numPr>
                <w:ilvl w:val="1"/>
                <w:numId w:val="18"/>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Directive 2014/25/EU o</w:t>
            </w:r>
            <w:r>
              <w:rPr>
                <w:rFonts w:ascii="Arial" w:eastAsia="Arial" w:hAnsi="Arial" w:cs="Arial"/>
                <w:color w:val="000000"/>
                <w:sz w:val="24"/>
                <w:szCs w:val="24"/>
              </w:rPr>
              <w:t>f the European Parliament and Council; or</w:t>
            </w:r>
          </w:p>
          <w:p w:rsidR="0074628E" w:rsidRDefault="00FC4575">
            <w:pPr>
              <w:numPr>
                <w:ilvl w:val="1"/>
                <w:numId w:val="18"/>
              </w:numPr>
              <w:pBdr>
                <w:top w:val="nil"/>
                <w:left w:val="nil"/>
                <w:bottom w:val="nil"/>
                <w:right w:val="nil"/>
                <w:between w:val="nil"/>
              </w:pBdr>
              <w:tabs>
                <w:tab w:val="left" w:pos="-179"/>
                <w:tab w:val="left" w:pos="-9"/>
              </w:tabs>
              <w:spacing w:after="120"/>
              <w:ind w:left="814"/>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7462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“Exempt Call-off Contract”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7462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“Exempt </w:t>
            </w:r>
            <w:r>
              <w:rPr>
                <w:rFonts w:ascii="Arial" w:eastAsia="Arial" w:hAnsi="Arial" w:cs="Arial"/>
                <w:b/>
                <w:sz w:val="24"/>
                <w:szCs w:val="24"/>
              </w:rPr>
              <w:t>Procurement Amendments”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628E" w:rsidRDefault="00FC4575">
            <w:p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4"/>
                <w:szCs w:val="24"/>
              </w:rPr>
              <w:t>legal requirements applicable to that Exempt Buyer;</w:t>
            </w:r>
          </w:p>
        </w:tc>
      </w:tr>
    </w:tbl>
    <w:p w:rsidR="0074628E" w:rsidRDefault="0074628E">
      <w:pPr>
        <w:widowControl w:val="0"/>
        <w:pBdr>
          <w:top w:val="nil"/>
          <w:left w:val="nil"/>
          <w:bottom w:val="nil"/>
          <w:right w:val="nil"/>
          <w:between w:val="nil"/>
        </w:pBdr>
        <w:spacing w:after="0"/>
        <w:rPr>
          <w:rFonts w:ascii="Arial" w:eastAsia="Arial" w:hAnsi="Arial" w:cs="Arial"/>
          <w:color w:val="000000"/>
        </w:rPr>
      </w:pPr>
    </w:p>
    <w:tbl>
      <w:tblPr>
        <w:tblStyle w:val="aa"/>
        <w:tblW w:w="10860" w:type="dxa"/>
        <w:tblInd w:w="-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35"/>
        <w:gridCol w:w="7725"/>
      </w:tblGrid>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74628E" w:rsidRDefault="00FC4575">
            <w:pPr>
              <w:pBdr>
                <w:top w:val="nil"/>
                <w:left w:val="nil"/>
                <w:bottom w:val="nil"/>
                <w:right w:val="nil"/>
                <w:between w:val="nil"/>
              </w:pBdr>
              <w:tabs>
                <w:tab w:val="left" w:pos="-576"/>
                <w:tab w:val="left" w:pos="144"/>
              </w:tabs>
              <w:spacing w:after="120"/>
              <w:ind w:left="144"/>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“Expression of Interest”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sz w:val="24"/>
                <w:szCs w:val="24"/>
              </w:rPr>
              <w:t xml:space="preserve">means the pre-procurement supplier engagement activity undertaken by the Buyer, whereby suppliers can express their interest to participate in a Further Competition Procedure.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w:t>
            </w:r>
            <w:r>
              <w:rPr>
                <w:rFonts w:ascii="Arial" w:eastAsia="Arial" w:hAnsi="Arial" w:cs="Arial"/>
                <w:color w:val="000000"/>
                <w:sz w:val="24"/>
                <w:szCs w:val="24"/>
              </w:rPr>
              <w:t>ional Extension Period as the context dictates;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time to time together with any guidance and/or codes of practice issued by the Information Commissioner or </w:t>
            </w:r>
            <w:r>
              <w:rPr>
                <w:rFonts w:ascii="Arial" w:eastAsia="Arial" w:hAnsi="Arial" w:cs="Arial"/>
                <w:color w:val="000000"/>
                <w:sz w:val="24"/>
                <w:szCs w:val="24"/>
              </w:rPr>
              <w:t>relevant Government department in relation to such legislation;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acts, events, omissions, happenings or non-happenings beyond its reasonable control and which are not attributable to any </w:t>
            </w:r>
            <w:r>
              <w:rPr>
                <w:rFonts w:ascii="Arial" w:eastAsia="Arial" w:hAnsi="Arial" w:cs="Arial"/>
                <w:color w:val="000000"/>
                <w:sz w:val="24"/>
                <w:szCs w:val="24"/>
              </w:rPr>
              <w:t>wilful act, neglect or failure to take reasonable preventative action by that Party, including:</w:t>
            </w:r>
          </w:p>
          <w:p w:rsidR="0074628E" w:rsidRDefault="00FC4575">
            <w:pPr>
              <w:numPr>
                <w:ilvl w:val="1"/>
                <w:numId w:val="2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74628E" w:rsidRDefault="00FC4575">
            <w:pPr>
              <w:numPr>
                <w:ilvl w:val="1"/>
                <w:numId w:val="2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acts of terrorism;</w:t>
            </w:r>
          </w:p>
          <w:p w:rsidR="0074628E" w:rsidRDefault="00FC4575">
            <w:pPr>
              <w:numPr>
                <w:ilvl w:val="1"/>
                <w:numId w:val="2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74628E" w:rsidRDefault="00FC4575">
            <w:pPr>
              <w:numPr>
                <w:ilvl w:val="1"/>
                <w:numId w:val="23"/>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w:t>
            </w:r>
            <w:r>
              <w:rPr>
                <w:rFonts w:ascii="Arial" w:eastAsia="Arial" w:hAnsi="Arial" w:cs="Arial"/>
                <w:color w:val="000000"/>
                <w:sz w:val="24"/>
                <w:szCs w:val="24"/>
              </w:rPr>
              <w:t xml:space="preserve"> Buyers by the Supplier pursuant to the notice published on the Find a Tender Service;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"General Anti-Abus</w:t>
            </w:r>
            <w:r>
              <w:rPr>
                <w:rFonts w:ascii="Arial" w:eastAsia="Arial" w:hAnsi="Arial" w:cs="Arial"/>
                <w:b/>
                <w:color w:val="000000"/>
                <w:sz w:val="24"/>
                <w:szCs w:val="24"/>
              </w:rPr>
              <w:t>e Rule"</w:t>
            </w:r>
          </w:p>
        </w:tc>
        <w:tc>
          <w:tcPr>
            <w:tcW w:w="0" w:type="auto"/>
          </w:tcPr>
          <w:p w:rsidR="0074628E" w:rsidRDefault="00FC4575">
            <w:pPr>
              <w:numPr>
                <w:ilvl w:val="1"/>
                <w:numId w:val="2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74628E" w:rsidRDefault="00FC4575">
            <w:pPr>
              <w:numPr>
                <w:ilvl w:val="1"/>
                <w:numId w:val="2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74628E" w:rsidRDefault="00FC4575">
            <w:p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74628E" w:rsidRDefault="00FC4575">
            <w:pPr>
              <w:numPr>
                <w:ilvl w:val="2"/>
                <w:numId w:val="23"/>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74628E" w:rsidRDefault="00FC4575">
            <w:pPr>
              <w:numPr>
                <w:ilvl w:val="2"/>
                <w:numId w:val="23"/>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w:t>
            </w:r>
            <w:r>
              <w:rPr>
                <w:rFonts w:ascii="Arial" w:eastAsia="Arial" w:hAnsi="Arial" w:cs="Arial"/>
                <w:color w:val="000000"/>
                <w:sz w:val="24"/>
                <w:szCs w:val="24"/>
              </w:rPr>
              <w:t xml:space="preserve"> as updated from time to time in accordance with the Variation Procedure;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74628E" w:rsidRDefault="00FC4575">
            <w:pPr>
              <w:numPr>
                <w:ilvl w:val="1"/>
                <w:numId w:val="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74628E" w:rsidRDefault="00FC4575">
            <w:pPr>
              <w:numPr>
                <w:ilvl w:val="1"/>
                <w:numId w:val="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74628E" w:rsidRDefault="00FC4575">
            <w:pPr>
              <w:numPr>
                <w:ilvl w:val="1"/>
                <w:numId w:val="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74628E" w:rsidRDefault="00FC4575">
            <w:pPr>
              <w:numPr>
                <w:ilvl w:val="1"/>
                <w:numId w:val="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74628E" w:rsidRDefault="00FC4575">
            <w:pPr>
              <w:numPr>
                <w:ilvl w:val="1"/>
                <w:numId w:val="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with respect to any person, means:</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w:t>
            </w:r>
            <w:r>
              <w:rPr>
                <w:rFonts w:ascii="Arial" w:eastAsia="Arial" w:hAnsi="Arial" w:cs="Arial"/>
                <w:color w:val="000000"/>
                <w:sz w:val="24"/>
                <w:szCs w:val="24"/>
              </w:rPr>
              <w:t xml:space="preserve"> inability to pay its debts, or:</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ct 1986 other than (in the case of a company, a LLP or a partnership) for the sole purpose of a scheme for a solvent amalgamation of that person with one or more other companies or the solvent reconstruction of that person;</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led to appoint a receiver over the assets of that person or a receiver is appointed over the assets of that person;</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nforced on or sued against, the whole or any part of that person’s assets and such attachment or process is not discharged within 14 days;</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w:t>
            </w:r>
            <w:r>
              <w:rPr>
                <w:rFonts w:ascii="Arial" w:eastAsia="Arial" w:hAnsi="Arial" w:cs="Arial"/>
                <w:color w:val="000000"/>
                <w:sz w:val="24"/>
                <w:szCs w:val="24"/>
              </w:rPr>
              <w:t>siness;</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person;</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ent of an administrator, or if a notice of intention to appoint an administrator is filed at Court or given or if an administrator is appointed, over that person;</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74628E" w:rsidRDefault="00FC4575">
            <w:pPr>
              <w:numPr>
                <w:ilvl w:val="1"/>
                <w:numId w:val="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74628E" w:rsidRDefault="00FC4575">
            <w:pPr>
              <w:numPr>
                <w:ilvl w:val="1"/>
                <w:numId w:val="9"/>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74628E" w:rsidRDefault="00FC4575">
            <w:pPr>
              <w:numPr>
                <w:ilvl w:val="1"/>
                <w:numId w:val="9"/>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74628E">
        <w:trPr>
          <w:trHeight w:val="357"/>
        </w:trPr>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74628E">
        <w:trPr>
          <w:trHeight w:val="426"/>
        </w:trPr>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Subcontractor:</w:t>
            </w:r>
          </w:p>
          <w:p w:rsidR="0074628E" w:rsidRDefault="00FC4575">
            <w:pPr>
              <w:numPr>
                <w:ilvl w:val="1"/>
                <w:numId w:val="10"/>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74628E" w:rsidRDefault="00FC4575">
            <w:pPr>
              <w:numPr>
                <w:ilvl w:val="1"/>
                <w:numId w:val="10"/>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74628E" w:rsidRDefault="00FC4575">
            <w:pPr>
              <w:numPr>
                <w:ilvl w:val="1"/>
                <w:numId w:val="10"/>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74628E" w:rsidRDefault="00FC4575">
            <w:pPr>
              <w:pBdr>
                <w:top w:val="nil"/>
                <w:left w:val="nil"/>
                <w:bottom w:val="nil"/>
                <w:right w:val="nil"/>
                <w:between w:val="nil"/>
              </w:pBdr>
              <w:tabs>
                <w:tab w:val="left" w:pos="-576"/>
                <w:tab w:val="left" w:pos="144"/>
              </w:tabs>
              <w:spacing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Pr>
          <w:p w:rsidR="0074628E" w:rsidRDefault="00FC4575">
            <w:pPr>
              <w:pBdr>
                <w:top w:val="nil"/>
                <w:left w:val="nil"/>
                <w:bottom w:val="nil"/>
                <w:right w:val="nil"/>
                <w:between w:val="nil"/>
              </w:pBdr>
              <w:tabs>
                <w:tab w:val="left" w:pos="-179"/>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74628E" w:rsidRDefault="00FC4575">
            <w:pPr>
              <w:pBdr>
                <w:top w:val="nil"/>
                <w:left w:val="nil"/>
                <w:bottom w:val="nil"/>
                <w:right w:val="nil"/>
                <w:between w:val="nil"/>
              </w:pBdr>
              <w:tabs>
                <w:tab w:val="left" w:pos="-179"/>
                <w:tab w:val="left" w:pos="175"/>
              </w:tabs>
              <w:spacing w:after="120"/>
              <w:ind w:left="170"/>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74628E" w:rsidRDefault="00FC4575">
            <w:pPr>
              <w:pBdr>
                <w:top w:val="nil"/>
                <w:left w:val="nil"/>
                <w:bottom w:val="nil"/>
                <w:right w:val="nil"/>
                <w:between w:val="nil"/>
              </w:pBdr>
              <w:tabs>
                <w:tab w:val="left" w:pos="-179"/>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when an MI report:</w:t>
            </w:r>
          </w:p>
          <w:p w:rsidR="0074628E" w:rsidRDefault="00FC4575">
            <w:pPr>
              <w:numPr>
                <w:ilvl w:val="1"/>
                <w:numId w:val="16"/>
              </w:numPr>
              <w:pBdr>
                <w:top w:val="nil"/>
                <w:left w:val="nil"/>
                <w:bottom w:val="nil"/>
                <w:right w:val="nil"/>
                <w:between w:val="nil"/>
              </w:pBdr>
              <w:tabs>
                <w:tab w:val="left" w:pos="-576"/>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74628E" w:rsidRDefault="00FC4575">
            <w:pPr>
              <w:numPr>
                <w:ilvl w:val="1"/>
                <w:numId w:val="16"/>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74628E" w:rsidRDefault="00FC4575">
            <w:pPr>
              <w:numPr>
                <w:ilvl w:val="1"/>
                <w:numId w:val="16"/>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74628E" w:rsidRDefault="00FC4575">
            <w:pPr>
              <w:pBdr>
                <w:top w:val="nil"/>
                <w:left w:val="nil"/>
                <w:bottom w:val="nil"/>
                <w:right w:val="nil"/>
                <w:between w:val="nil"/>
              </w:pBdr>
              <w:tabs>
                <w:tab w:val="left" w:pos="-179"/>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74628E" w:rsidRDefault="00FC4575">
            <w:pPr>
              <w:pBdr>
                <w:top w:val="nil"/>
                <w:left w:val="nil"/>
                <w:bottom w:val="nil"/>
                <w:right w:val="nil"/>
                <w:between w:val="nil"/>
              </w:pBdr>
              <w:tabs>
                <w:tab w:val="left" w:pos="-179"/>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w:t>
            </w:r>
            <w:r>
              <w:rPr>
                <w:rFonts w:ascii="Arial" w:eastAsia="Arial" w:hAnsi="Arial" w:cs="Arial"/>
                <w:color w:val="000000"/>
                <w:sz w:val="24"/>
                <w:szCs w:val="24"/>
              </w:rPr>
              <w:t>ment Charges and Information) setting out the information the Supplier is required to supply to the Authority;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74628E" w:rsidRDefault="00FC4575">
            <w:pPr>
              <w:numPr>
                <w:ilvl w:val="1"/>
                <w:numId w:val="1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74628E" w:rsidRDefault="00FC4575">
            <w:pPr>
              <w:numPr>
                <w:ilvl w:val="1"/>
                <w:numId w:val="11"/>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rsidR="0074628E" w:rsidRDefault="00FC4575">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74628E" w:rsidRDefault="00FC4575">
            <w:pPr>
              <w:numPr>
                <w:ilvl w:val="2"/>
                <w:numId w:val="19"/>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74628E" w:rsidRDefault="00FC4575">
            <w:pPr>
              <w:numPr>
                <w:ilvl w:val="2"/>
                <w:numId w:val="19"/>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74628E" w:rsidRDefault="00FC4575">
            <w:pPr>
              <w:numPr>
                <w:ilvl w:val="1"/>
                <w:numId w:val="19"/>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74628E" w:rsidRDefault="00FC4575">
            <w:pPr>
              <w:numPr>
                <w:ilvl w:val="1"/>
                <w:numId w:val="1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74628E" w:rsidRDefault="00FC4575">
            <w:pPr>
              <w:numPr>
                <w:ilvl w:val="1"/>
                <w:numId w:val="1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74628E" w:rsidRDefault="00FC4575">
            <w:pPr>
              <w:numPr>
                <w:ilvl w:val="2"/>
                <w:numId w:val="12"/>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74628E" w:rsidRDefault="00FC4575">
            <w:pPr>
              <w:numPr>
                <w:ilvl w:val="2"/>
                <w:numId w:val="12"/>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74628E" w:rsidRDefault="00FC4575">
            <w:pPr>
              <w:numPr>
                <w:ilvl w:val="2"/>
                <w:numId w:val="12"/>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74628E" w:rsidRDefault="00FC4575">
            <w:pPr>
              <w:numPr>
                <w:ilvl w:val="2"/>
                <w:numId w:val="12"/>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74628E" w:rsidRDefault="00FC4575">
            <w:pPr>
              <w:numPr>
                <w:ilvl w:val="1"/>
                <w:numId w:val="12"/>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 xml:space="preserve">Overheads; </w:t>
            </w:r>
          </w:p>
          <w:p w:rsidR="0074628E" w:rsidRDefault="00FC4575">
            <w:pPr>
              <w:numPr>
                <w:ilvl w:val="1"/>
                <w:numId w:val="1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74628E" w:rsidRDefault="00FC4575">
            <w:pPr>
              <w:numPr>
                <w:ilvl w:val="1"/>
                <w:numId w:val="1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w:t>
            </w:r>
            <w:r>
              <w:rPr>
                <w:rFonts w:ascii="Arial" w:eastAsia="Arial" w:hAnsi="Arial" w:cs="Arial"/>
                <w:color w:val="000000"/>
                <w:sz w:val="24"/>
                <w:szCs w:val="24"/>
              </w:rPr>
              <w:t xml:space="preserve"> and on an annual basis;</w:t>
            </w:r>
          </w:p>
          <w:p w:rsidR="0074628E" w:rsidRDefault="00FC4575">
            <w:pPr>
              <w:numPr>
                <w:ilvl w:val="1"/>
                <w:numId w:val="1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74628E" w:rsidRDefault="00FC4575">
            <w:pPr>
              <w:numPr>
                <w:ilvl w:val="1"/>
                <w:numId w:val="1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74628E" w:rsidRDefault="00FC4575">
            <w:pPr>
              <w:numPr>
                <w:ilvl w:val="1"/>
                <w:numId w:val="12"/>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"Pres</w:t>
            </w:r>
            <w:r>
              <w:rPr>
                <w:rFonts w:ascii="Arial" w:eastAsia="Arial" w:hAnsi="Arial" w:cs="Arial"/>
                <w:b/>
                <w:color w:val="000000"/>
                <w:sz w:val="24"/>
                <w:szCs w:val="24"/>
              </w:rPr>
              <w:t>cribed Person"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w:t>
            </w:r>
            <w:r>
              <w:rPr>
                <w:rFonts w:ascii="Arial" w:eastAsia="Arial" w:hAnsi="Arial" w:cs="Arial"/>
                <w:color w:val="000000"/>
                <w:sz w:val="24"/>
                <w:szCs w:val="24"/>
              </w:rPr>
              <w:t>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74628E" w:rsidRDefault="00FC4575">
            <w:pPr>
              <w:numPr>
                <w:ilvl w:val="1"/>
                <w:numId w:val="1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74628E" w:rsidRDefault="00FC4575">
            <w:pPr>
              <w:numPr>
                <w:ilvl w:val="2"/>
                <w:numId w:val="13"/>
              </w:numPr>
              <w:pBdr>
                <w:top w:val="nil"/>
                <w:left w:val="nil"/>
                <w:bottom w:val="nil"/>
                <w:right w:val="nil"/>
                <w:between w:val="nil"/>
              </w:pBdr>
              <w:tabs>
                <w:tab w:val="left" w:pos="-179"/>
                <w:tab w:val="left" w:pos="-9"/>
              </w:tabs>
              <w:spacing w:after="120"/>
              <w:ind w:left="792"/>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74628E" w:rsidRDefault="00FC4575">
            <w:pPr>
              <w:numPr>
                <w:ilvl w:val="2"/>
                <w:numId w:val="13"/>
              </w:numPr>
              <w:pBdr>
                <w:top w:val="nil"/>
                <w:left w:val="nil"/>
                <w:bottom w:val="nil"/>
                <w:right w:val="nil"/>
                <w:between w:val="nil"/>
              </w:pBdr>
              <w:tabs>
                <w:tab w:val="left" w:pos="-179"/>
                <w:tab w:val="left" w:pos="-9"/>
              </w:tabs>
              <w:spacing w:after="120"/>
              <w:ind w:left="792"/>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74628E" w:rsidRDefault="00FC4575">
            <w:pPr>
              <w:numPr>
                <w:ilvl w:val="1"/>
                <w:numId w:val="1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w:t>
            </w:r>
            <w:r>
              <w:rPr>
                <w:rFonts w:ascii="Arial" w:eastAsia="Arial" w:hAnsi="Arial" w:cs="Arial"/>
                <w:color w:val="000000"/>
                <w:sz w:val="24"/>
                <w:szCs w:val="24"/>
              </w:rPr>
              <w:t>activity in connection with each Contract; or</w:t>
            </w:r>
          </w:p>
          <w:p w:rsidR="0074628E" w:rsidRDefault="00FC4575">
            <w:pPr>
              <w:numPr>
                <w:ilvl w:val="1"/>
                <w:numId w:val="13"/>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74628E" w:rsidRDefault="00FC4575">
            <w:pPr>
              <w:numPr>
                <w:ilvl w:val="2"/>
                <w:numId w:val="13"/>
              </w:numPr>
              <w:pBdr>
                <w:top w:val="nil"/>
                <w:left w:val="nil"/>
                <w:bottom w:val="nil"/>
                <w:right w:val="nil"/>
                <w:between w:val="nil"/>
              </w:pBdr>
              <w:tabs>
                <w:tab w:val="left" w:pos="-179"/>
                <w:tab w:val="left" w:pos="-9"/>
              </w:tabs>
              <w:spacing w:after="120"/>
              <w:ind w:left="792"/>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74628E" w:rsidRDefault="00FC4575">
            <w:pPr>
              <w:numPr>
                <w:ilvl w:val="2"/>
                <w:numId w:val="13"/>
              </w:numPr>
              <w:pBdr>
                <w:top w:val="nil"/>
                <w:left w:val="nil"/>
                <w:bottom w:val="nil"/>
                <w:right w:val="nil"/>
                <w:between w:val="nil"/>
              </w:pBdr>
              <w:tabs>
                <w:tab w:val="left" w:pos="-179"/>
                <w:tab w:val="left" w:pos="-9"/>
              </w:tabs>
              <w:spacing w:after="120"/>
              <w:ind w:left="792"/>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74628E" w:rsidRDefault="00FC4575">
            <w:pPr>
              <w:numPr>
                <w:ilvl w:val="2"/>
                <w:numId w:val="13"/>
              </w:numPr>
              <w:pBdr>
                <w:top w:val="nil"/>
                <w:left w:val="nil"/>
                <w:bottom w:val="nil"/>
                <w:right w:val="nil"/>
                <w:between w:val="nil"/>
              </w:pBdr>
              <w:tabs>
                <w:tab w:val="left" w:pos="-179"/>
                <w:tab w:val="left" w:pos="-9"/>
              </w:tabs>
              <w:spacing w:after="120"/>
              <w:ind w:left="792"/>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74628E" w:rsidRDefault="00FC4575">
            <w:pPr>
              <w:numPr>
                <w:ilvl w:val="1"/>
                <w:numId w:val="13"/>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74628E" w:rsidRDefault="00FC4575">
            <w:pPr>
              <w:numPr>
                <w:ilvl w:val="1"/>
                <w:numId w:val="20"/>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74628E" w:rsidRDefault="00FC4575">
            <w:pPr>
              <w:numPr>
                <w:ilvl w:val="1"/>
                <w:numId w:val="20"/>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74628E" w:rsidRDefault="00FC4575">
            <w:pPr>
              <w:numPr>
                <w:ilvl w:val="1"/>
                <w:numId w:val="20"/>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rsidR="0074628E" w:rsidRDefault="00FC4575">
            <w:pPr>
              <w:numPr>
                <w:ilvl w:val="1"/>
                <w:numId w:val="17"/>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74628E" w:rsidRDefault="00FC4575">
            <w:pPr>
              <w:numPr>
                <w:ilvl w:val="1"/>
                <w:numId w:val="17"/>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subsist</w:t>
            </w:r>
            <w:r>
              <w:rPr>
                <w:rFonts w:ascii="Arial" w:eastAsia="Arial" w:hAnsi="Arial" w:cs="Arial"/>
                <w:color w:val="000000"/>
                <w:sz w:val="24"/>
                <w:szCs w:val="24"/>
              </w:rPr>
              <w:t>ence expenses incurred by Supplier Staff whilst performing the Services at their usual place of work, or to and from the premises at which the Services are principally to be performed;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74628E" w:rsidRDefault="00FC4575">
            <w:pPr>
              <w:numPr>
                <w:ilvl w:val="1"/>
                <w:numId w:val="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74628E" w:rsidRDefault="00FC4575">
            <w:pPr>
              <w:numPr>
                <w:ilvl w:val="1"/>
                <w:numId w:val="1"/>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“Relevant Person(s)”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sz w:val="24"/>
                <w:szCs w:val="24"/>
              </w:rPr>
              <w:t>anyone who might need access to that information as part of managing or calling off one of our agreements.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74628E" w:rsidRDefault="00FC4575">
            <w:pPr>
              <w:pBdr>
                <w:top w:val="nil"/>
                <w:left w:val="nil"/>
                <w:bottom w:val="nil"/>
                <w:right w:val="nil"/>
                <w:between w:val="nil"/>
              </w:pBdr>
              <w:tabs>
                <w:tab w:val="left" w:pos="1985"/>
                <w:tab w:val="left" w:pos="2127"/>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Pr>
          <w:p w:rsidR="0074628E" w:rsidRDefault="00FC4575">
            <w:pPr>
              <w:pBdr>
                <w:top w:val="nil"/>
                <w:left w:val="nil"/>
                <w:bottom w:val="nil"/>
                <w:right w:val="nil"/>
                <w:between w:val="nil"/>
              </w:pBdr>
              <w:tabs>
                <w:tab w:val="left" w:pos="1985"/>
                <w:tab w:val="left" w:pos="2127"/>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w:t>
            </w:r>
            <w:r>
              <w:rPr>
                <w:rFonts w:ascii="Arial" w:eastAsia="Arial" w:hAnsi="Arial" w:cs="Arial"/>
                <w:color w:val="000000"/>
                <w:sz w:val="24"/>
                <w:szCs w:val="24"/>
              </w:rPr>
              <w:t xml:space="preserve">Requirements) or any additional insurances specified in the Order Form;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74628E" w:rsidRDefault="00FC4575">
            <w:pPr>
              <w:numPr>
                <w:ilvl w:val="1"/>
                <w:numId w:val="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74628E" w:rsidRDefault="00FC4575">
            <w:pPr>
              <w:numPr>
                <w:ilvl w:val="1"/>
                <w:numId w:val="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74628E">
        <w:trPr>
          <w:trHeight w:val="945"/>
        </w:trPr>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74628E">
        <w:trPr>
          <w:trHeight w:val="945"/>
        </w:trPr>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74628E">
        <w:trPr>
          <w:trHeight w:val="945"/>
        </w:trPr>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Buyer and which would not affect a Comparable Supply where the effect of </w:t>
            </w:r>
            <w:r>
              <w:rPr>
                <w:rFonts w:ascii="Arial" w:eastAsia="Arial" w:hAnsi="Arial" w:cs="Arial"/>
                <w:color w:val="000000"/>
                <w:sz w:val="24"/>
                <w:szCs w:val="24"/>
              </w:rPr>
              <w:t>that Specific Change in Law on the Deliverables is not reasonably foreseeable at the Start Date;</w:t>
            </w:r>
          </w:p>
        </w:tc>
      </w:tr>
      <w:tr w:rsidR="0074628E">
        <w:trPr>
          <w:trHeight w:val="945"/>
        </w:trPr>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w:t>
            </w:r>
          </w:p>
          <w:p w:rsidR="0074628E" w:rsidRDefault="00FC4575">
            <w:pPr>
              <w:numPr>
                <w:ilvl w:val="1"/>
                <w:numId w:val="4"/>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74628E" w:rsidRDefault="00FC4575">
            <w:pPr>
              <w:numPr>
                <w:ilvl w:val="1"/>
                <w:numId w:val="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74628E" w:rsidRDefault="00FC4575">
            <w:pPr>
              <w:numPr>
                <w:ilvl w:val="1"/>
                <w:numId w:val="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74628E" w:rsidRDefault="00FC4575">
            <w:pPr>
              <w:numPr>
                <w:ilvl w:val="1"/>
                <w:numId w:val="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 xml:space="preserve">"Statement of </w:t>
            </w:r>
            <w:r>
              <w:rPr>
                <w:rFonts w:ascii="Arial" w:eastAsia="Arial" w:hAnsi="Arial" w:cs="Arial"/>
                <w:b/>
                <w:sz w:val="24"/>
                <w:szCs w:val="24"/>
              </w:rPr>
              <w:t>Requirement</w:t>
            </w:r>
            <w:r>
              <w:rPr>
                <w:rFonts w:ascii="Arial" w:eastAsia="Arial" w:hAnsi="Arial" w:cs="Arial"/>
                <w:b/>
                <w:color w:val="000000"/>
                <w:sz w:val="24"/>
                <w:szCs w:val="24"/>
              </w:rPr>
              <w: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and w</w:t>
            </w:r>
            <w:r>
              <w:rPr>
                <w:rFonts w:ascii="Arial" w:eastAsia="Arial" w:hAnsi="Arial" w:cs="Arial"/>
                <w:sz w:val="24"/>
                <w:szCs w:val="24"/>
              </w:rPr>
              <w:t>ork needed</w:t>
            </w:r>
            <w:r>
              <w:rPr>
                <w:rFonts w:ascii="Arial" w:eastAsia="Arial" w:hAnsi="Arial" w:cs="Arial"/>
                <w:color w:val="000000"/>
                <w:sz w:val="24"/>
                <w:szCs w:val="24"/>
              </w:rPr>
              <w:t xml:space="preserve"> in respect of Deliverables issued in accordance with the Call-Off Procedure;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74628E" w:rsidRDefault="00FC4575">
            <w:pPr>
              <w:numPr>
                <w:ilvl w:val="1"/>
                <w:numId w:val="14"/>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74628E" w:rsidRDefault="00FC4575">
            <w:pPr>
              <w:numPr>
                <w:ilvl w:val="1"/>
                <w:numId w:val="1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74628E" w:rsidRDefault="00FC4575">
            <w:pPr>
              <w:numPr>
                <w:ilvl w:val="1"/>
                <w:numId w:val="1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74628E" w:rsidRDefault="00FC4575">
            <w:pPr>
              <w:numPr>
                <w:ilvl w:val="1"/>
                <w:numId w:val="2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74628E" w:rsidRDefault="00FC4575">
            <w:pPr>
              <w:numPr>
                <w:ilvl w:val="1"/>
                <w:numId w:val="21"/>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74628E" w:rsidRDefault="00FC4575">
            <w:pPr>
              <w:numPr>
                <w:ilvl w:val="1"/>
                <w:numId w:val="21"/>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74628E">
        <w:tc>
          <w:tcPr>
            <w:tcW w:w="0" w:type="auto"/>
          </w:tcPr>
          <w:p w:rsidR="0074628E" w:rsidRDefault="00FC4575">
            <w:pPr>
              <w:pBdr>
                <w:top w:val="nil"/>
                <w:left w:val="nil"/>
                <w:bottom w:val="nil"/>
                <w:right w:val="nil"/>
                <w:between w:val="nil"/>
              </w:pBdr>
              <w:tabs>
                <w:tab w:val="left" w:pos="1134"/>
              </w:tabs>
              <w:spacing w:before="120" w:after="120"/>
              <w:ind w:left="141"/>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0" w:type="auto"/>
          </w:tcPr>
          <w:p w:rsidR="0074628E" w:rsidRDefault="00FC4575">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where the Supplier has failed to:</w:t>
            </w:r>
          </w:p>
          <w:p w:rsidR="0074628E" w:rsidRDefault="00FC4575">
            <w:pPr>
              <w:numPr>
                <w:ilvl w:val="1"/>
                <w:numId w:val="1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74628E" w:rsidRDefault="00FC4575">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74628E" w:rsidRDefault="00FC4575">
            <w:pPr>
              <w:numPr>
                <w:ilvl w:val="1"/>
                <w:numId w:val="15"/>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74628E" w:rsidRDefault="00FC4575">
            <w:pPr>
              <w:numPr>
                <w:ilvl w:val="0"/>
                <w:numId w:val="6"/>
              </w:numPr>
              <w:pBdr>
                <w:top w:val="nil"/>
                <w:left w:val="nil"/>
                <w:bottom w:val="nil"/>
                <w:right w:val="nil"/>
                <w:between w:val="nil"/>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74628E" w:rsidRDefault="00FC4575">
            <w:pPr>
              <w:numPr>
                <w:ilvl w:val="0"/>
                <w:numId w:val="6"/>
              </w:numPr>
              <w:pBdr>
                <w:top w:val="nil"/>
                <w:left w:val="nil"/>
                <w:bottom w:val="nil"/>
                <w:right w:val="nil"/>
                <w:between w:val="nil"/>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74628E" w:rsidRDefault="00FC4575">
            <w:pPr>
              <w:numPr>
                <w:ilvl w:val="0"/>
                <w:numId w:val="6"/>
              </w:numPr>
              <w:pBdr>
                <w:top w:val="nil"/>
                <w:left w:val="nil"/>
                <w:bottom w:val="nil"/>
                <w:right w:val="nil"/>
                <w:between w:val="nil"/>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74628E" w:rsidRDefault="00FC4575">
            <w:pPr>
              <w:numPr>
                <w:ilvl w:val="0"/>
                <w:numId w:val="6"/>
              </w:numPr>
              <w:pBdr>
                <w:top w:val="nil"/>
                <w:left w:val="nil"/>
                <w:bottom w:val="nil"/>
                <w:right w:val="nil"/>
                <w:between w:val="nil"/>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plan:</w:t>
            </w:r>
          </w:p>
          <w:p w:rsidR="0074628E" w:rsidRDefault="00FC4575">
            <w:pPr>
              <w:numPr>
                <w:ilvl w:val="1"/>
                <w:numId w:val="7"/>
              </w:numPr>
              <w:pBdr>
                <w:top w:val="nil"/>
                <w:left w:val="nil"/>
                <w:bottom w:val="nil"/>
                <w:right w:val="nil"/>
                <w:between w:val="nil"/>
              </w:pBdr>
              <w:tabs>
                <w:tab w:val="left" w:pos="-576"/>
                <w:tab w:val="left" w:pos="141"/>
              </w:tabs>
              <w:spacing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74628E" w:rsidRDefault="00FC4575">
            <w:pPr>
              <w:numPr>
                <w:ilvl w:val="1"/>
                <w:numId w:val="7"/>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74628E">
        <w:tc>
          <w:tcPr>
            <w:tcW w:w="0" w:type="auto"/>
          </w:tcPr>
          <w:p w:rsidR="0074628E" w:rsidRDefault="00FC4575">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74628E" w:rsidRDefault="00FC4575">
            <w:pPr>
              <w:keepNext/>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74628E" w:rsidRDefault="00FC4575">
            <w:pPr>
              <w:keepNext/>
              <w:pBdr>
                <w:top w:val="nil"/>
                <w:left w:val="nil"/>
                <w:bottom w:val="nil"/>
                <w:right w:val="nil"/>
                <w:between w:val="nil"/>
              </w:pBdr>
              <w:tabs>
                <w:tab w:val="left" w:pos="-179"/>
                <w:tab w:val="left" w:pos="-9"/>
              </w:tabs>
              <w:spacing w:after="120"/>
              <w:ind w:left="720"/>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74628E" w:rsidRDefault="00FC4575">
            <w:pPr>
              <w:keepNext/>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74628E" w:rsidRDefault="0074628E">
            <w:pPr>
              <w:keepNext/>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w:t>
            </w:r>
            <w:r>
              <w:rPr>
                <w:rFonts w:ascii="Arial" w:eastAsia="Arial" w:hAnsi="Arial" w:cs="Arial"/>
                <w:b/>
                <w:color w:val="000000"/>
                <w:sz w:val="24"/>
                <w:szCs w:val="24"/>
              </w:rPr>
              <w:t>VCSE"</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w:t>
            </w:r>
            <w:r>
              <w:rPr>
                <w:rFonts w:ascii="Arial" w:eastAsia="Arial" w:hAnsi="Arial" w:cs="Arial"/>
                <w:b/>
                <w:color w:val="000000"/>
                <w:sz w:val="24"/>
                <w:szCs w:val="24"/>
              </w:rPr>
              <w:t>Worker"</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74628E">
        <w:tc>
          <w:tcPr>
            <w:tcW w:w="0" w:type="auto"/>
          </w:tcPr>
          <w:p w:rsidR="0074628E" w:rsidRDefault="00FC4575">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Pr>
          <w:p w:rsidR="0074628E" w:rsidRDefault="00FC4575">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74628E" w:rsidRDefault="0074628E">
      <w:pPr>
        <w:spacing w:after="0" w:line="240" w:lineRule="auto"/>
        <w:rPr>
          <w:rFonts w:ascii="Arial" w:eastAsia="Arial" w:hAnsi="Arial" w:cs="Arial"/>
          <w:sz w:val="24"/>
          <w:szCs w:val="24"/>
        </w:rPr>
      </w:pPr>
      <w:bookmarkStart w:id="5" w:name="_heading=h.gjdgxs" w:colFirst="0" w:colLast="0"/>
      <w:bookmarkEnd w:id="5"/>
    </w:p>
    <w:sectPr w:rsidR="0074628E">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575" w:rsidRDefault="00FC4575">
      <w:pPr>
        <w:spacing w:after="0" w:line="240" w:lineRule="auto"/>
      </w:pPr>
      <w:r>
        <w:separator/>
      </w:r>
    </w:p>
  </w:endnote>
  <w:endnote w:type="continuationSeparator" w:id="0">
    <w:p w:rsidR="00FC4575" w:rsidRDefault="00FC4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28E" w:rsidRDefault="00FC457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rsidR="0074628E" w:rsidRDefault="00FC45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C3B9B">
      <w:rPr>
        <w:rFonts w:ascii="Arial" w:eastAsia="Arial" w:hAnsi="Arial" w:cs="Arial"/>
        <w:color w:val="000000"/>
        <w:sz w:val="20"/>
        <w:szCs w:val="20"/>
      </w:rPr>
      <w:fldChar w:fldCharType="separate"/>
    </w:r>
    <w:r w:rsidR="002C3B9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4628E" w:rsidRDefault="00FC45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28E" w:rsidRDefault="00FC457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74628E" w:rsidRDefault="00FC457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4628E" w:rsidRDefault="00FC45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575" w:rsidRDefault="00FC4575">
      <w:pPr>
        <w:spacing w:after="0" w:line="240" w:lineRule="auto"/>
      </w:pPr>
      <w:r>
        <w:separator/>
      </w:r>
    </w:p>
  </w:footnote>
  <w:footnote w:type="continuationSeparator" w:id="0">
    <w:p w:rsidR="00FC4575" w:rsidRDefault="00FC4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28E" w:rsidRDefault="00FC457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74628E" w:rsidRDefault="00FC4575">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28E" w:rsidRDefault="00FC4575">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74628E" w:rsidRDefault="00FC457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F6E"/>
    <w:multiLevelType w:val="multilevel"/>
    <w:tmpl w:val="64C696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074548"/>
    <w:multiLevelType w:val="multilevel"/>
    <w:tmpl w:val="26501F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236BE6"/>
    <w:multiLevelType w:val="multilevel"/>
    <w:tmpl w:val="5CD0F4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D56720"/>
    <w:multiLevelType w:val="multilevel"/>
    <w:tmpl w:val="E162EB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B21ABC"/>
    <w:multiLevelType w:val="multilevel"/>
    <w:tmpl w:val="A5726E50"/>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9EB518F"/>
    <w:multiLevelType w:val="multilevel"/>
    <w:tmpl w:val="6570D5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D67432"/>
    <w:multiLevelType w:val="multilevel"/>
    <w:tmpl w:val="E8E414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013A1C"/>
    <w:multiLevelType w:val="multilevel"/>
    <w:tmpl w:val="F87EC6E4"/>
    <w:lvl w:ilvl="0">
      <w:start w:val="1"/>
      <w:numFmt w:val="lowerLetter"/>
      <w:pStyle w:val="GPSL1CLAUSEHEADING"/>
      <w:lvlText w:val="%1)"/>
      <w:lvlJc w:val="left"/>
      <w:pPr>
        <w:ind w:left="170" w:hanging="170"/>
      </w:pPr>
      <w:rPr>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C681918"/>
    <w:multiLevelType w:val="multilevel"/>
    <w:tmpl w:val="AA924A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F6045"/>
    <w:multiLevelType w:val="multilevel"/>
    <w:tmpl w:val="21F4FE9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382205E"/>
    <w:multiLevelType w:val="multilevel"/>
    <w:tmpl w:val="E4AC53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1E1918"/>
    <w:multiLevelType w:val="multilevel"/>
    <w:tmpl w:val="DC60F9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55151C0"/>
    <w:multiLevelType w:val="multilevel"/>
    <w:tmpl w:val="048CAA20"/>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95062B"/>
    <w:multiLevelType w:val="multilevel"/>
    <w:tmpl w:val="C554E09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5D1F2A06"/>
    <w:multiLevelType w:val="multilevel"/>
    <w:tmpl w:val="D6BED2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EDA162C"/>
    <w:multiLevelType w:val="multilevel"/>
    <w:tmpl w:val="7FB0F962"/>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AE2EB1"/>
    <w:multiLevelType w:val="multilevel"/>
    <w:tmpl w:val="FBD022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804769"/>
    <w:multiLevelType w:val="multilevel"/>
    <w:tmpl w:val="BACCC7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E3739F"/>
    <w:multiLevelType w:val="multilevel"/>
    <w:tmpl w:val="BE30F2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7A4C4A"/>
    <w:multiLevelType w:val="multilevel"/>
    <w:tmpl w:val="01601B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1A51A35"/>
    <w:multiLevelType w:val="multilevel"/>
    <w:tmpl w:val="3110B6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87877BB"/>
    <w:multiLevelType w:val="multilevel"/>
    <w:tmpl w:val="1ED43698"/>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2" w15:restartNumberingAfterBreak="0">
    <w:nsid w:val="7BDB598B"/>
    <w:multiLevelType w:val="multilevel"/>
    <w:tmpl w:val="CE80AF4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CC56BB0"/>
    <w:multiLevelType w:val="multilevel"/>
    <w:tmpl w:val="23EECB4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15"/>
  </w:num>
  <w:num w:numId="2">
    <w:abstractNumId w:val="17"/>
  </w:num>
  <w:num w:numId="3">
    <w:abstractNumId w:val="4"/>
  </w:num>
  <w:num w:numId="4">
    <w:abstractNumId w:val="9"/>
  </w:num>
  <w:num w:numId="5">
    <w:abstractNumId w:val="8"/>
  </w:num>
  <w:num w:numId="6">
    <w:abstractNumId w:val="7"/>
  </w:num>
  <w:num w:numId="7">
    <w:abstractNumId w:val="12"/>
  </w:num>
  <w:num w:numId="8">
    <w:abstractNumId w:val="23"/>
  </w:num>
  <w:num w:numId="9">
    <w:abstractNumId w:val="5"/>
  </w:num>
  <w:num w:numId="10">
    <w:abstractNumId w:val="1"/>
  </w:num>
  <w:num w:numId="11">
    <w:abstractNumId w:val="3"/>
  </w:num>
  <w:num w:numId="12">
    <w:abstractNumId w:val="11"/>
  </w:num>
  <w:num w:numId="13">
    <w:abstractNumId w:val="16"/>
  </w:num>
  <w:num w:numId="14">
    <w:abstractNumId w:val="20"/>
  </w:num>
  <w:num w:numId="15">
    <w:abstractNumId w:val="10"/>
  </w:num>
  <w:num w:numId="16">
    <w:abstractNumId w:val="22"/>
  </w:num>
  <w:num w:numId="17">
    <w:abstractNumId w:val="19"/>
  </w:num>
  <w:num w:numId="18">
    <w:abstractNumId w:val="21"/>
  </w:num>
  <w:num w:numId="19">
    <w:abstractNumId w:val="18"/>
  </w:num>
  <w:num w:numId="20">
    <w:abstractNumId w:val="2"/>
  </w:num>
  <w:num w:numId="21">
    <w:abstractNumId w:val="14"/>
  </w:num>
  <w:num w:numId="22">
    <w:abstractNumId w:val="13"/>
  </w:num>
  <w:num w:numId="23">
    <w:abstractNumId w:val="6"/>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28E"/>
    <w:rsid w:val="002C3B9B"/>
    <w:rsid w:val="0074628E"/>
    <w:rsid w:val="00FC4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82821B-52AA-4289-87EF-2B146E5E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wexABKesKs+OOWOKNmKHnrNjg==">AMUW2mUqWs0uAMC0NO1gzMdAjCoD+14sP2mwwq3sGvlPXlhs3iYCo4a8fHeLpL75kco/N368fpY7rSZ0wiBjVNyWYNrJ99Kj1j7tNTiKHq+v85+37JjESKfAavLI3yzw95ocvmD6Zw2oxbptWEXA9AOCws6llUTOTVeS+bsSinxsnzNgcOmAB/4ql3GjQGoa/FmX6zB+Oki3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9488</Words>
  <Characters>54082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Megan Lancaster</cp:lastModifiedBy>
  <cp:revision>2</cp:revision>
  <dcterms:created xsi:type="dcterms:W3CDTF">2023-04-06T09:32:00Z</dcterms:created>
  <dcterms:modified xsi:type="dcterms:W3CDTF">2023-04-06T09:32:00Z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